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3067" w:tblpY="2"/>
        <w:tblW w:w="0" w:type="auto"/>
        <w:tblLook w:val="01E0" w:firstRow="1" w:lastRow="1" w:firstColumn="1" w:lastColumn="1" w:noHBand="0" w:noVBand="0"/>
      </w:tblPr>
      <w:tblGrid>
        <w:gridCol w:w="8039"/>
      </w:tblGrid>
      <w:tr w:rsidR="00440D17" w:rsidRPr="003B3B22" w:rsidTr="00E81604">
        <w:trPr>
          <w:trHeight w:val="1618"/>
        </w:trPr>
        <w:tc>
          <w:tcPr>
            <w:tcW w:w="8039" w:type="dxa"/>
          </w:tcPr>
          <w:p w:rsidR="00440D17" w:rsidRPr="00332B6C" w:rsidRDefault="0014138B" w:rsidP="00A345B6">
            <w:pPr>
              <w:tabs>
                <w:tab w:val="left" w:pos="6900"/>
              </w:tabs>
              <w:spacing w:line="240" w:lineRule="auto"/>
              <w:rPr>
                <w:rFonts w:eastAsia="Calibri" w:cs="Arial"/>
                <w:b/>
                <w:sz w:val="32"/>
                <w:szCs w:val="32"/>
              </w:rPr>
            </w:pPr>
            <w:r w:rsidRPr="0014138B">
              <w:rPr>
                <w:rFonts w:eastAsia="Calibri" w:cs="Arial"/>
                <w:b/>
                <w:sz w:val="28"/>
                <w:szCs w:val="28"/>
              </w:rPr>
              <w:t xml:space="preserve">                           </w:t>
            </w:r>
            <w:r w:rsidR="00C9421E">
              <w:rPr>
                <w:rFonts w:eastAsia="Calibri" w:cs="Arial"/>
                <w:b/>
                <w:sz w:val="28"/>
                <w:szCs w:val="28"/>
              </w:rPr>
              <w:t xml:space="preserve">              </w:t>
            </w:r>
            <w:r>
              <w:rPr>
                <w:rFonts w:eastAsia="Calibri" w:cs="Arial"/>
                <w:b/>
                <w:sz w:val="28"/>
                <w:szCs w:val="28"/>
              </w:rPr>
              <w:t xml:space="preserve"> </w:t>
            </w:r>
            <w:r w:rsidR="00440D17" w:rsidRPr="00332B6C">
              <w:rPr>
                <w:rFonts w:eastAsia="Calibri" w:cs="Arial"/>
                <w:b/>
                <w:sz w:val="32"/>
                <w:szCs w:val="32"/>
              </w:rPr>
              <w:t>R O M Â N I A</w:t>
            </w:r>
            <w:r w:rsidR="00A345B6">
              <w:rPr>
                <w:rFonts w:eastAsia="Calibri" w:cs="Arial"/>
                <w:b/>
                <w:sz w:val="32"/>
                <w:szCs w:val="32"/>
              </w:rPr>
              <w:tab/>
            </w:r>
          </w:p>
          <w:p w:rsidR="004306BD" w:rsidRDefault="0014138B" w:rsidP="0090280B">
            <w:pPr>
              <w:spacing w:line="240" w:lineRule="auto"/>
              <w:rPr>
                <w:rFonts w:eastAsia="Calibri" w:cs="Arial"/>
                <w:b/>
                <w:bCs/>
                <w:sz w:val="28"/>
                <w:szCs w:val="28"/>
              </w:rPr>
            </w:pPr>
            <w:r w:rsidRPr="00332B6C">
              <w:rPr>
                <w:rFonts w:eastAsia="Calibri" w:cs="Arial"/>
                <w:b/>
                <w:bCs/>
                <w:sz w:val="28"/>
                <w:szCs w:val="28"/>
              </w:rPr>
              <w:t xml:space="preserve">       </w:t>
            </w:r>
            <w:r w:rsidR="00332B6C">
              <w:rPr>
                <w:rFonts w:eastAsia="Calibri" w:cs="Arial"/>
                <w:b/>
                <w:bCs/>
                <w:sz w:val="28"/>
                <w:szCs w:val="28"/>
              </w:rPr>
              <w:t xml:space="preserve">                       </w:t>
            </w:r>
            <w:r w:rsidRPr="00332B6C">
              <w:rPr>
                <w:rFonts w:eastAsia="Calibri" w:cs="Arial"/>
                <w:b/>
                <w:bCs/>
                <w:sz w:val="28"/>
                <w:szCs w:val="28"/>
              </w:rPr>
              <w:t xml:space="preserve"> </w:t>
            </w:r>
            <w:r w:rsidR="00440D17" w:rsidRPr="00332B6C">
              <w:rPr>
                <w:rFonts w:eastAsia="Calibri" w:cs="Arial"/>
                <w:b/>
                <w:bCs/>
                <w:sz w:val="28"/>
                <w:szCs w:val="28"/>
              </w:rPr>
              <w:t>PRIMĂRIA COMUNEI CHINTENI</w:t>
            </w:r>
          </w:p>
          <w:p w:rsidR="00440D17" w:rsidRPr="004E7EF3" w:rsidRDefault="0090280B" w:rsidP="0090280B">
            <w:pPr>
              <w:spacing w:line="240" w:lineRule="auto"/>
              <w:rPr>
                <w:rFonts w:eastAsia="Calibri" w:cs="Arial"/>
                <w:b/>
                <w:bCs/>
                <w:sz w:val="28"/>
                <w:szCs w:val="28"/>
              </w:rPr>
            </w:pPr>
            <w:r>
              <w:rPr>
                <w:rFonts w:eastAsia="Calibri" w:cs="Arial"/>
                <w:b/>
                <w:bCs/>
                <w:sz w:val="28"/>
                <w:szCs w:val="28"/>
              </w:rPr>
              <w:t xml:space="preserve"> </w:t>
            </w:r>
            <w:r w:rsidR="00BE37A2" w:rsidRPr="004E7EF3">
              <w:rPr>
                <w:rFonts w:eastAsia="Calibri" w:cs="Arial"/>
                <w:b/>
                <w:sz w:val="24"/>
                <w:szCs w:val="24"/>
              </w:rPr>
              <w:t>Com.</w:t>
            </w:r>
            <w:r w:rsidR="00440D17" w:rsidRPr="004E7EF3">
              <w:rPr>
                <w:rFonts w:eastAsia="Calibri" w:cs="Arial"/>
                <w:b/>
                <w:sz w:val="24"/>
                <w:szCs w:val="24"/>
              </w:rPr>
              <w:t xml:space="preserve"> Chinteni, Str. Unirii, nr. 232, </w:t>
            </w:r>
            <w:r w:rsidR="00BE37A2" w:rsidRPr="004E7EF3">
              <w:rPr>
                <w:rFonts w:eastAsia="Calibri" w:cs="Arial"/>
                <w:b/>
                <w:sz w:val="24"/>
                <w:szCs w:val="24"/>
              </w:rPr>
              <w:t xml:space="preserve">jud. Cluj, </w:t>
            </w:r>
            <w:r w:rsidR="00440D17" w:rsidRPr="004E7EF3">
              <w:rPr>
                <w:rFonts w:eastAsia="Calibri" w:cs="Arial"/>
                <w:b/>
                <w:sz w:val="24"/>
                <w:szCs w:val="24"/>
              </w:rPr>
              <w:t>tel. 0264271771, fax 0264271772</w:t>
            </w:r>
          </w:p>
          <w:p w:rsidR="0090280B" w:rsidRPr="004E7EF3" w:rsidRDefault="0090280B" w:rsidP="00F00396">
            <w:pPr>
              <w:spacing w:line="240" w:lineRule="auto"/>
              <w:rPr>
                <w:rFonts w:eastAsia="Calibri" w:cs="Arial"/>
                <w:b/>
                <w:bCs/>
                <w:sz w:val="28"/>
                <w:szCs w:val="28"/>
              </w:rPr>
            </w:pPr>
            <w:r>
              <w:rPr>
                <w:rFonts w:eastAsia="Calibri" w:cs="Arial"/>
                <w:sz w:val="24"/>
                <w:szCs w:val="24"/>
              </w:rPr>
              <w:t xml:space="preserve">                            </w:t>
            </w:r>
            <w:r w:rsidR="008C20EC">
              <w:rPr>
                <w:rFonts w:eastAsia="Calibri" w:cs="Arial"/>
                <w:sz w:val="24"/>
                <w:szCs w:val="24"/>
              </w:rPr>
              <w:t xml:space="preserve"> </w:t>
            </w:r>
            <w:r>
              <w:rPr>
                <w:rFonts w:eastAsia="Calibri" w:cs="Arial"/>
                <w:sz w:val="24"/>
                <w:szCs w:val="24"/>
              </w:rPr>
              <w:t xml:space="preserve">   </w:t>
            </w:r>
          </w:p>
        </w:tc>
      </w:tr>
    </w:tbl>
    <w:p w:rsidR="00440D17" w:rsidRPr="003B3B22" w:rsidRDefault="00440D17" w:rsidP="00440D17">
      <w:pPr>
        <w:jc w:val="both"/>
        <w:rPr>
          <w:rFonts w:ascii="Verdana" w:eastAsia="Calibri" w:hAnsi="Verdana" w:cs="Arial"/>
        </w:rPr>
      </w:pPr>
      <w:r>
        <w:rPr>
          <w:rFonts w:eastAsia="Calibri" w:cs="Arial"/>
          <w:noProof/>
        </w:rPr>
        <w:drawing>
          <wp:inline distT="0" distB="0" distL="0" distR="0">
            <wp:extent cx="800074" cy="1117985"/>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0074" cy="1117985"/>
                    </a:xfrm>
                    <a:prstGeom prst="rect">
                      <a:avLst/>
                    </a:prstGeom>
                    <a:noFill/>
                    <a:ln w="9525">
                      <a:noFill/>
                      <a:miter lim="800000"/>
                      <a:headEnd/>
                      <a:tailEnd/>
                    </a:ln>
                  </pic:spPr>
                </pic:pic>
              </a:graphicData>
            </a:graphic>
          </wp:inline>
        </w:drawing>
      </w:r>
    </w:p>
    <w:p w:rsidR="00411EE0" w:rsidRPr="00F00396" w:rsidRDefault="0014138B" w:rsidP="00ED0899">
      <w:pPr>
        <w:rPr>
          <w:sz w:val="28"/>
          <w:szCs w:val="28"/>
        </w:rPr>
      </w:pPr>
      <w:r w:rsidRPr="00336BE0">
        <w:rPr>
          <w:sz w:val="28"/>
          <w:szCs w:val="28"/>
        </w:rPr>
        <w:t xml:space="preserve">  </w:t>
      </w:r>
      <w:r w:rsidR="00336BE0" w:rsidRPr="00336BE0">
        <w:rPr>
          <w:sz w:val="28"/>
          <w:szCs w:val="28"/>
        </w:rPr>
        <w:t xml:space="preserve">                                        </w:t>
      </w:r>
      <w:r w:rsidR="00336BE0">
        <w:rPr>
          <w:sz w:val="28"/>
          <w:szCs w:val="28"/>
        </w:rPr>
        <w:t xml:space="preserve"> </w:t>
      </w:r>
      <w:r w:rsidR="00336BE0" w:rsidRPr="00336BE0">
        <w:rPr>
          <w:sz w:val="28"/>
          <w:szCs w:val="28"/>
        </w:rPr>
        <w:t xml:space="preserve"> </w:t>
      </w:r>
      <w:r w:rsidRPr="00336BE0">
        <w:rPr>
          <w:sz w:val="28"/>
          <w:szCs w:val="28"/>
        </w:rPr>
        <w:t xml:space="preserve"> </w:t>
      </w:r>
      <w:r w:rsidR="004306BD">
        <w:rPr>
          <w:sz w:val="28"/>
          <w:szCs w:val="28"/>
        </w:rPr>
        <w:t xml:space="preserve">                   </w:t>
      </w:r>
      <w:r w:rsidR="00ED0899">
        <w:rPr>
          <w:sz w:val="28"/>
          <w:szCs w:val="28"/>
        </w:rPr>
        <w:t xml:space="preserve">   </w:t>
      </w:r>
    </w:p>
    <w:p w:rsidR="00850B41" w:rsidRPr="00EF757E" w:rsidRDefault="00411EE0" w:rsidP="00ED0899">
      <w:pPr>
        <w:rPr>
          <w:b/>
          <w:sz w:val="28"/>
          <w:szCs w:val="28"/>
          <w:u w:val="single"/>
        </w:rPr>
      </w:pPr>
      <w:r w:rsidRPr="00EF757E">
        <w:rPr>
          <w:b/>
          <w:sz w:val="28"/>
          <w:szCs w:val="28"/>
        </w:rPr>
        <w:t xml:space="preserve">           </w:t>
      </w:r>
      <w:r w:rsidR="00F00396" w:rsidRPr="00EF757E">
        <w:rPr>
          <w:b/>
          <w:sz w:val="28"/>
          <w:szCs w:val="28"/>
        </w:rPr>
        <w:t xml:space="preserve">        </w:t>
      </w:r>
      <w:r w:rsidR="00EF757E">
        <w:rPr>
          <w:b/>
          <w:sz w:val="28"/>
          <w:szCs w:val="28"/>
        </w:rPr>
        <w:t xml:space="preserve">  </w:t>
      </w:r>
      <w:r w:rsidR="00F00396" w:rsidRPr="00EF757E">
        <w:rPr>
          <w:b/>
          <w:sz w:val="28"/>
          <w:szCs w:val="28"/>
        </w:rPr>
        <w:t xml:space="preserve">   </w:t>
      </w:r>
      <w:r w:rsidR="00EF757E">
        <w:rPr>
          <w:b/>
          <w:sz w:val="28"/>
          <w:szCs w:val="28"/>
        </w:rPr>
        <w:t xml:space="preserve">   </w:t>
      </w:r>
      <w:r w:rsidR="00F00396" w:rsidRPr="00EF757E">
        <w:rPr>
          <w:b/>
          <w:sz w:val="28"/>
          <w:szCs w:val="28"/>
        </w:rPr>
        <w:t xml:space="preserve">   </w:t>
      </w:r>
      <w:r w:rsidR="00850B41" w:rsidRPr="00EF757E">
        <w:rPr>
          <w:b/>
          <w:sz w:val="28"/>
          <w:szCs w:val="28"/>
        </w:rPr>
        <w:t xml:space="preserve"> </w:t>
      </w:r>
      <w:r w:rsidR="004306BD" w:rsidRPr="00EF757E">
        <w:rPr>
          <w:b/>
          <w:sz w:val="28"/>
          <w:szCs w:val="28"/>
        </w:rPr>
        <w:t xml:space="preserve">  </w:t>
      </w:r>
      <w:r w:rsidRPr="00EF757E">
        <w:rPr>
          <w:b/>
          <w:sz w:val="28"/>
          <w:szCs w:val="28"/>
        </w:rPr>
        <w:t xml:space="preserve"> </w:t>
      </w:r>
      <w:r w:rsidR="00F00396" w:rsidRPr="00EF757E">
        <w:rPr>
          <w:b/>
          <w:sz w:val="28"/>
          <w:szCs w:val="28"/>
          <w:u w:val="single"/>
        </w:rPr>
        <w:t>ÎN ATENȚIA CETĂȚENILOR COMUNEI CHINTENI</w:t>
      </w:r>
    </w:p>
    <w:p w:rsidR="004E7EF3" w:rsidRDefault="00850B41" w:rsidP="00ED0899">
      <w:pPr>
        <w:rPr>
          <w:b/>
          <w:color w:val="C00000"/>
          <w:sz w:val="28"/>
          <w:szCs w:val="28"/>
        </w:rPr>
      </w:pPr>
      <w:r>
        <w:rPr>
          <w:b/>
          <w:sz w:val="32"/>
          <w:szCs w:val="32"/>
        </w:rPr>
        <w:t xml:space="preserve">  </w:t>
      </w:r>
      <w:r w:rsidR="00EF757E">
        <w:rPr>
          <w:b/>
          <w:sz w:val="32"/>
          <w:szCs w:val="32"/>
        </w:rPr>
        <w:t xml:space="preserve"> </w:t>
      </w:r>
      <w:r>
        <w:rPr>
          <w:b/>
          <w:sz w:val="32"/>
          <w:szCs w:val="32"/>
        </w:rPr>
        <w:t xml:space="preserve"> </w:t>
      </w:r>
      <w:r w:rsidR="00EF757E">
        <w:rPr>
          <w:b/>
          <w:sz w:val="32"/>
          <w:szCs w:val="32"/>
        </w:rPr>
        <w:t xml:space="preserve"> </w:t>
      </w:r>
      <w:r w:rsidR="00D70422">
        <w:rPr>
          <w:b/>
          <w:sz w:val="32"/>
          <w:szCs w:val="32"/>
        </w:rPr>
        <w:t xml:space="preserve"> </w:t>
      </w:r>
      <w:r w:rsidR="00EF757E">
        <w:rPr>
          <w:b/>
          <w:sz w:val="32"/>
          <w:szCs w:val="32"/>
        </w:rPr>
        <w:t xml:space="preserve"> </w:t>
      </w:r>
      <w:r w:rsidRPr="00EF757E">
        <w:rPr>
          <w:b/>
          <w:color w:val="C00000"/>
          <w:sz w:val="28"/>
          <w:szCs w:val="28"/>
        </w:rPr>
        <w:t xml:space="preserve">REGULI ȘI MĂSURI </w:t>
      </w:r>
      <w:r w:rsidR="00EF757E">
        <w:rPr>
          <w:b/>
          <w:color w:val="C00000"/>
          <w:sz w:val="28"/>
          <w:szCs w:val="28"/>
        </w:rPr>
        <w:t xml:space="preserve">DE RESPECTAT IN CAZ DE </w:t>
      </w:r>
      <w:r w:rsidRPr="00EF757E">
        <w:rPr>
          <w:b/>
          <w:color w:val="C00000"/>
          <w:sz w:val="28"/>
          <w:szCs w:val="28"/>
        </w:rPr>
        <w:t>UTILIZARE</w:t>
      </w:r>
      <w:r w:rsidR="00EF757E">
        <w:rPr>
          <w:b/>
          <w:color w:val="C00000"/>
          <w:sz w:val="28"/>
          <w:szCs w:val="28"/>
        </w:rPr>
        <w:t xml:space="preserve"> </w:t>
      </w:r>
      <w:r w:rsidRPr="00EF757E">
        <w:rPr>
          <w:b/>
          <w:color w:val="C00000"/>
          <w:sz w:val="28"/>
          <w:szCs w:val="28"/>
        </w:rPr>
        <w:t>A FOCULUI DESCHIS</w:t>
      </w:r>
    </w:p>
    <w:p w:rsidR="004E2845" w:rsidRDefault="004E2845" w:rsidP="004E2845">
      <w:pPr>
        <w:ind w:firstLine="720"/>
        <w:jc w:val="both"/>
      </w:pPr>
      <w:r>
        <w:t>Având în vedere încălzirea vremii şi faptul</w:t>
      </w:r>
      <w:r>
        <w:t xml:space="preserve"> că se apropie perioada curăţeniei de primăvară </w:t>
      </w:r>
      <w:r>
        <w:t xml:space="preserve">Primăria comunei Chinteni </w:t>
      </w:r>
      <w:r>
        <w:t>atrage atenţia cetăţenilor despre pericolul pe care îl reprezintă arderile necontrolate de mirişti, resturi vegetale (deșeuri menajere) și vegetație uscată.</w:t>
      </w:r>
    </w:p>
    <w:p w:rsidR="004E2845" w:rsidRDefault="004E2845" w:rsidP="004E2845">
      <w:pPr>
        <w:ind w:firstLine="720"/>
        <w:jc w:val="both"/>
      </w:pPr>
      <w:r>
        <w:t>Astfel de intervenții sunt dificile deoarece de cele mai multe ori autospecialele pompierilor nu pot ajunge în zona focarelor de incendiu din cauza lipsei căilor de acces, nu exista surse de alimentare cu apă în zonă sau suprafața care arde este foarte mare.</w:t>
      </w:r>
    </w:p>
    <w:p w:rsidR="004E2845" w:rsidRDefault="004E2845" w:rsidP="004E2845">
      <w:pPr>
        <w:ind w:firstLine="720"/>
        <w:jc w:val="both"/>
      </w:pPr>
      <w:r>
        <w:t xml:space="preserve"> În unele cazuri, cetăţenii </w:t>
      </w:r>
      <w:r>
        <w:t xml:space="preserve">comunei noastre </w:t>
      </w:r>
      <w:r>
        <w:t xml:space="preserve">ard miriştile, resturile menajere ori vegetaţia uscată, fără a asigura supravegherea, fără a asigura măsurile de apărare împotriva incendiilor, în condiţii de vânt ori amplasând grămezile ce urmează a fi distruse prin ardere în apropierea şurilor, adăposturilor de animale sau furajelor, ceea ce </w:t>
      </w:r>
      <w:r>
        <w:t>poate conduce</w:t>
      </w:r>
      <w:r>
        <w:t xml:space="preserve"> la propagarea rapidă a focului la gospodării şi anexele acestora, înregistrându-se pagube mari</w:t>
      </w:r>
      <w:r>
        <w:t xml:space="preserve"> sau pierderi de vieți omenești</w:t>
      </w:r>
      <w:r>
        <w:t xml:space="preserve">. </w:t>
      </w:r>
    </w:p>
    <w:p w:rsidR="00BB3C55" w:rsidRPr="00BB3C55" w:rsidRDefault="00BB3C55" w:rsidP="00BB3C55">
      <w:pPr>
        <w:ind w:firstLine="720"/>
        <w:jc w:val="both"/>
        <w:rPr>
          <w:b/>
          <w:color w:val="C00000"/>
          <w:u w:val="single"/>
        </w:rPr>
      </w:pPr>
      <w:r w:rsidRPr="00BB3C55">
        <w:rPr>
          <w:b/>
          <w:color w:val="C00000"/>
          <w:u w:val="single"/>
        </w:rPr>
        <w:t xml:space="preserve">Arderea vegetaţiei uscate, miriştilor şi a resturilor vegetale de pe terenurile agricole: </w:t>
      </w:r>
    </w:p>
    <w:p w:rsidR="00BB3C55" w:rsidRDefault="00BB3C55" w:rsidP="00BB3C55">
      <w:pPr>
        <w:ind w:firstLine="720"/>
        <w:jc w:val="both"/>
        <w:rPr>
          <w:b/>
        </w:rPr>
      </w:pPr>
      <w:r w:rsidRPr="004E2845">
        <w:rPr>
          <w:b/>
        </w:rPr>
        <w:sym w:font="Symbol" w:char="F0B7"/>
      </w:r>
      <w:r w:rsidRPr="004E2845">
        <w:rPr>
          <w:b/>
        </w:rPr>
        <w:t xml:space="preserve"> </w:t>
      </w:r>
      <w:proofErr w:type="gramStart"/>
      <w:r w:rsidRPr="004E2845">
        <w:rPr>
          <w:b/>
        </w:rPr>
        <w:t>este</w:t>
      </w:r>
      <w:proofErr w:type="gramEnd"/>
      <w:r w:rsidRPr="004E2845">
        <w:rPr>
          <w:b/>
        </w:rPr>
        <w:t xml:space="preserve"> strict interzisă dacă nu se impune ca o măsură excepţională în cazuri de carantină fitosanitară, pentru prevenirea răspândirii unor boli sau dăunători specifici, conform prevederilor , art. </w:t>
      </w:r>
      <w:proofErr w:type="gramStart"/>
      <w:r w:rsidRPr="004E2845">
        <w:rPr>
          <w:b/>
        </w:rPr>
        <w:t>94, alin.</w:t>
      </w:r>
      <w:proofErr w:type="gramEnd"/>
      <w:r w:rsidRPr="004E2845">
        <w:rPr>
          <w:b/>
        </w:rPr>
        <w:t xml:space="preserve"> 1, lit. n) </w:t>
      </w:r>
      <w:proofErr w:type="gramStart"/>
      <w:r w:rsidRPr="004E2845">
        <w:rPr>
          <w:b/>
        </w:rPr>
        <w:t>din</w:t>
      </w:r>
      <w:proofErr w:type="gramEnd"/>
      <w:r w:rsidRPr="004E2845">
        <w:rPr>
          <w:b/>
        </w:rPr>
        <w:t xml:space="preserve"> OUG 195/2005 privind protecția mediului, cu completările și modificările ulterioare, precum şi a standardelor privind bunele condiţii agricole şi de mediu ale terenurilor (GAEC 6.2), reglementate prin Ordinul ministrului agriculturii şi dezvoltării rurale nr.352/2015; </w:t>
      </w:r>
    </w:p>
    <w:p w:rsidR="00BB3C55" w:rsidRDefault="00BB3C55" w:rsidP="00BB3C55">
      <w:pPr>
        <w:ind w:firstLine="720"/>
        <w:jc w:val="both"/>
        <w:rPr>
          <w:b/>
        </w:rPr>
      </w:pPr>
      <w:r w:rsidRPr="004E2845">
        <w:rPr>
          <w:b/>
        </w:rPr>
        <w:sym w:font="Symbol" w:char="F0B7"/>
      </w:r>
      <w:r w:rsidRPr="004E2845">
        <w:rPr>
          <w:b/>
        </w:rPr>
        <w:t xml:space="preserve"> se poate executa numai cu acordul autorităţii competente pentru protecţia mediului pentru cazurile în care se impun măsuri de carantină fitosanitară după informarea serviciilor voluntare pentru situaţii de urgenţă, cu respectarea reglementărilor privind utilizarea focului deschis conform Ordinului ministrului internelor şi reformei administrative şi al ministrului agriculturii şi dezvoltării rurale nr.605/579/2008, precum şi OMAI nr.163/2007. </w:t>
      </w:r>
    </w:p>
    <w:p w:rsidR="00BB3C55" w:rsidRDefault="00BB3C55" w:rsidP="00BB3C55">
      <w:pPr>
        <w:ind w:firstLine="720"/>
        <w:jc w:val="both"/>
        <w:rPr>
          <w:b/>
        </w:rPr>
      </w:pPr>
      <w:r w:rsidRPr="004E2845">
        <w:rPr>
          <w:b/>
        </w:rPr>
        <w:t xml:space="preserve">Nerespectarea prevederilor legale privind „obligaţia proprietarilor şi deţinătorilor de terenuri cu titlu sau fără titlu, de a nu arde miriştile, stuful, tufărişurile sau vegetaţia ierboasă, fără acceptul autorităţii competente pentru protecţia mediului şi fără informarea în prealabil a serviciilor publice </w:t>
      </w:r>
      <w:r w:rsidRPr="004E2845">
        <w:rPr>
          <w:b/>
        </w:rPr>
        <w:lastRenderedPageBreak/>
        <w:t>comunitare pentru situaţii de urgenţă” atrage după sine aplicarea de sancțiuni contravenționale, şi se sancţionează cu amendă de la 3000 lei la 6000 lei pentru persoane fizice, şi de la 25000 la 50000 lei pentru persoane juridice.</w:t>
      </w:r>
    </w:p>
    <w:p w:rsidR="00BB3C55" w:rsidRPr="004E2845" w:rsidRDefault="00BB3C55" w:rsidP="00BB3C55">
      <w:pPr>
        <w:ind w:firstLine="720"/>
        <w:jc w:val="both"/>
        <w:rPr>
          <w:b/>
          <w:sz w:val="20"/>
          <w:szCs w:val="20"/>
        </w:rPr>
      </w:pPr>
      <w:r w:rsidRPr="004E2845">
        <w:rPr>
          <w:b/>
        </w:rPr>
        <w:t xml:space="preserve"> În ceea </w:t>
      </w:r>
      <w:proofErr w:type="gramStart"/>
      <w:r w:rsidRPr="004E2845">
        <w:rPr>
          <w:b/>
        </w:rPr>
        <w:t>ce</w:t>
      </w:r>
      <w:proofErr w:type="gramEnd"/>
      <w:r w:rsidRPr="004E2845">
        <w:rPr>
          <w:b/>
        </w:rPr>
        <w:t xml:space="preserve"> priveşte arderile care au loc în interiorul sau vecinătatea ariilor naturale protejate şi pe trenurile supuse refacerii ecologice prevederile legale sunt şi mai stricte, astfel, conform prevederilor art. </w:t>
      </w:r>
      <w:proofErr w:type="gramStart"/>
      <w:r w:rsidRPr="004E2845">
        <w:rPr>
          <w:b/>
        </w:rPr>
        <w:t>98, alin.</w:t>
      </w:r>
      <w:proofErr w:type="gramEnd"/>
      <w:r w:rsidRPr="004E2845">
        <w:rPr>
          <w:b/>
        </w:rPr>
        <w:t xml:space="preserve"> 1, pct. 1, din OUG 195/2005 privind protecţia mediului „arderea miriştilor, stufului, tufărişurilor şi vegetaţiei ierboase din ariile protejate şi de pe terenurile supuse refacerii ecologice”, constitue infracţiuni şi se pedepsesc cu închisoare de la 3 luni la 1 an sau cu amendă, dacă au fost de natură să pună în pericol viaţa ori sănătatea umană, animală sau vegetală.</w:t>
      </w:r>
    </w:p>
    <w:p w:rsidR="004E2845" w:rsidRDefault="004E2845" w:rsidP="004E2845">
      <w:pPr>
        <w:ind w:firstLine="720"/>
        <w:jc w:val="both"/>
      </w:pPr>
      <w:r>
        <w:t>Pentru evitarea producerii arderilor necontrolate în perioada imediat următoare</w:t>
      </w:r>
      <w:r>
        <w:t xml:space="preserve"> Primăria comunei </w:t>
      </w:r>
      <w:proofErr w:type="gramStart"/>
      <w:r>
        <w:t xml:space="preserve">Chinteni </w:t>
      </w:r>
      <w:r>
        <w:t xml:space="preserve"> face</w:t>
      </w:r>
      <w:proofErr w:type="gramEnd"/>
      <w:r>
        <w:t xml:space="preserve"> apel la cetăţeni să respecte măsurile specifice de prevenire a incendiilor provocate de arderea resturilor și deșeurilor vegetale</w:t>
      </w:r>
      <w:r w:rsidR="00BB3C55">
        <w:t xml:space="preserve"> astfel </w:t>
      </w:r>
      <w:r>
        <w:t xml:space="preserve">: </w:t>
      </w:r>
    </w:p>
    <w:p w:rsidR="004E2845" w:rsidRPr="004E2845" w:rsidRDefault="004E2845" w:rsidP="004E2845">
      <w:pPr>
        <w:pStyle w:val="ListParagraph"/>
        <w:numPr>
          <w:ilvl w:val="0"/>
          <w:numId w:val="27"/>
        </w:numPr>
        <w:jc w:val="both"/>
        <w:rPr>
          <w:rFonts w:cstheme="minorHAnsi"/>
          <w:b/>
          <w:color w:val="C00000"/>
          <w:lang w:val="ro-RO"/>
        </w:rPr>
      </w:pPr>
      <w:r w:rsidRPr="004E2845">
        <w:rPr>
          <w:rFonts w:cstheme="minorHAnsi"/>
          <w:b/>
          <w:color w:val="C00000"/>
          <w:lang w:val="ro-RO"/>
        </w:rPr>
        <w:t>Arderea resturilor vegetale, gunoaielor și deşeurilor vegetale să se facă numai pe baza permisului de lucru cu foc, după ce a fost informat în prealabil serviciul voluntar pentru situaţii de urgenţă;</w:t>
      </w:r>
    </w:p>
    <w:p w:rsidR="004E2845" w:rsidRPr="004E2845" w:rsidRDefault="004E2845" w:rsidP="004E2845">
      <w:pPr>
        <w:pStyle w:val="ListParagraph"/>
        <w:numPr>
          <w:ilvl w:val="0"/>
          <w:numId w:val="27"/>
        </w:numPr>
        <w:jc w:val="both"/>
        <w:rPr>
          <w:rFonts w:cstheme="minorHAnsi"/>
          <w:lang w:val="ro-RO"/>
        </w:rPr>
      </w:pPr>
      <w:r w:rsidRPr="004E2845">
        <w:rPr>
          <w:rFonts w:cstheme="minorHAnsi"/>
          <w:shd w:val="clear" w:color="auto" w:fill="FFFFFF"/>
        </w:rPr>
        <w:t xml:space="preserve">Utilizarea focului deschis în locuri cu pericol de incendiu şi </w:t>
      </w:r>
      <w:r w:rsidRPr="004E2845">
        <w:rPr>
          <w:rFonts w:cstheme="minorHAnsi"/>
          <w:b/>
          <w:shd w:val="clear" w:color="auto" w:fill="FFFFFF"/>
        </w:rPr>
        <w:t>pe timp de vânt este interzisă</w:t>
      </w:r>
      <w:r w:rsidRPr="004E2845">
        <w:rPr>
          <w:rFonts w:cstheme="minorHAnsi"/>
          <w:shd w:val="clear" w:color="auto" w:fill="FFFFFF"/>
        </w:rPr>
        <w:t>;</w:t>
      </w:r>
    </w:p>
    <w:p w:rsidR="004E2845" w:rsidRPr="004E2845" w:rsidRDefault="004E2845" w:rsidP="004E2845">
      <w:pPr>
        <w:pStyle w:val="ListParagraph"/>
        <w:numPr>
          <w:ilvl w:val="0"/>
          <w:numId w:val="27"/>
        </w:numPr>
        <w:jc w:val="both"/>
        <w:rPr>
          <w:rFonts w:cstheme="minorHAnsi"/>
          <w:lang w:val="ro-RO"/>
        </w:rPr>
      </w:pPr>
      <w:r w:rsidRPr="004E2845">
        <w:rPr>
          <w:rFonts w:cstheme="minorHAnsi"/>
          <w:b/>
          <w:shd w:val="clear" w:color="auto" w:fill="FFFFFF"/>
        </w:rPr>
        <w:t>Realizarea arderii se face doar în locuri special amenajate</w:t>
      </w:r>
      <w:r w:rsidRPr="004E2845">
        <w:rPr>
          <w:rFonts w:cstheme="minorHAnsi"/>
          <w:shd w:val="clear" w:color="auto" w:fill="FFFFFF"/>
        </w:rPr>
        <w:t>, cu respectarea măsurilor ce se impun pentru împiedicarea propagării focului la vecinătăţi;</w:t>
      </w:r>
    </w:p>
    <w:p w:rsidR="004E2845" w:rsidRPr="004E2845" w:rsidRDefault="004E2845" w:rsidP="004E2845">
      <w:pPr>
        <w:pStyle w:val="ListParagraph"/>
        <w:numPr>
          <w:ilvl w:val="0"/>
          <w:numId w:val="27"/>
        </w:numPr>
        <w:jc w:val="both"/>
        <w:rPr>
          <w:rFonts w:cstheme="minorHAnsi"/>
          <w:lang w:val="ro-RO"/>
        </w:rPr>
      </w:pPr>
      <w:r w:rsidRPr="004E2845">
        <w:rPr>
          <w:rFonts w:cstheme="minorHAnsi"/>
          <w:b/>
          <w:shd w:val="clear" w:color="auto" w:fill="FFFFFF"/>
        </w:rPr>
        <w:t>Supravegherea permanentă</w:t>
      </w:r>
      <w:r w:rsidRPr="004E2845">
        <w:rPr>
          <w:rFonts w:cstheme="minorHAnsi"/>
          <w:shd w:val="clear" w:color="auto" w:fill="FFFFFF"/>
        </w:rPr>
        <w:t xml:space="preserve"> a arderii, precum şi stingerea jarului, după terminarea activităţii;</w:t>
      </w:r>
    </w:p>
    <w:p w:rsidR="004E2845" w:rsidRPr="004E2845" w:rsidRDefault="004E2845" w:rsidP="004E2845">
      <w:pPr>
        <w:pStyle w:val="ListParagraph"/>
        <w:numPr>
          <w:ilvl w:val="0"/>
          <w:numId w:val="27"/>
        </w:numPr>
        <w:jc w:val="both"/>
        <w:rPr>
          <w:rFonts w:cstheme="minorHAnsi"/>
          <w:b/>
          <w:lang w:val="ro-RO"/>
        </w:rPr>
      </w:pPr>
      <w:r w:rsidRPr="004E2845">
        <w:rPr>
          <w:rFonts w:cstheme="minorHAnsi"/>
          <w:b/>
          <w:shd w:val="clear" w:color="auto" w:fill="FFFFFF"/>
        </w:rPr>
        <w:t>Utilizarea focului deschis</w:t>
      </w:r>
      <w:r w:rsidRPr="004E2845">
        <w:rPr>
          <w:rFonts w:cstheme="minorHAnsi"/>
          <w:shd w:val="clear" w:color="auto" w:fill="FFFFFF"/>
        </w:rPr>
        <w:t xml:space="preserve"> la </w:t>
      </w:r>
      <w:r w:rsidRPr="004E2845">
        <w:rPr>
          <w:rFonts w:cstheme="minorHAnsi"/>
          <w:b/>
          <w:shd w:val="clear" w:color="auto" w:fill="FFFFFF"/>
        </w:rPr>
        <w:t xml:space="preserve">distanţe mai mici de 40 m </w:t>
      </w:r>
      <w:r w:rsidRPr="004E2845">
        <w:rPr>
          <w:rFonts w:cstheme="minorHAnsi"/>
          <w:shd w:val="clear" w:color="auto" w:fill="FFFFFF"/>
        </w:rPr>
        <w:t xml:space="preserve">faţă de locurile cu pericol de explozie (gaze şi lichide combustibile, vapori inflamabili, explozivi etc.), </w:t>
      </w:r>
      <w:r w:rsidRPr="004E2845">
        <w:rPr>
          <w:rFonts w:cstheme="minorHAnsi"/>
          <w:b/>
          <w:shd w:val="clear" w:color="auto" w:fill="FFFFFF"/>
        </w:rPr>
        <w:t>respectiv de 10 m</w:t>
      </w:r>
      <w:r w:rsidRPr="004E2845">
        <w:rPr>
          <w:rFonts w:cstheme="minorHAnsi"/>
          <w:shd w:val="clear" w:color="auto" w:fill="FFFFFF"/>
        </w:rPr>
        <w:t xml:space="preserve"> faţă de materiale sau substanţe combustibile (lemn, hârtie, textile, carton asfaltat, bitum, ulei etc.) </w:t>
      </w:r>
      <w:r w:rsidRPr="004E2845">
        <w:rPr>
          <w:rFonts w:cstheme="minorHAnsi"/>
          <w:b/>
          <w:shd w:val="clear" w:color="auto" w:fill="FFFFFF"/>
        </w:rPr>
        <w:t>este interzisă;</w:t>
      </w:r>
    </w:p>
    <w:p w:rsidR="00BB3C55" w:rsidRPr="00BB3C55" w:rsidRDefault="004E2845" w:rsidP="00BB3C55">
      <w:pPr>
        <w:pStyle w:val="ListParagraph"/>
        <w:numPr>
          <w:ilvl w:val="0"/>
          <w:numId w:val="27"/>
        </w:numPr>
        <w:jc w:val="both"/>
        <w:rPr>
          <w:rFonts w:cstheme="minorHAnsi"/>
          <w:lang w:val="ro-RO"/>
        </w:rPr>
      </w:pPr>
      <w:r w:rsidRPr="004E2845">
        <w:rPr>
          <w:rFonts w:cstheme="minorHAnsi"/>
          <w:b/>
          <w:shd w:val="clear" w:color="auto" w:fill="FFFFFF"/>
        </w:rPr>
        <w:t>Asigurarea mijloacelor tehnice pentru stingerea de îndată</w:t>
      </w:r>
      <w:r w:rsidRPr="004E2845">
        <w:rPr>
          <w:rFonts w:cstheme="minorHAnsi"/>
          <w:shd w:val="clear" w:color="auto" w:fill="FFFFFF"/>
        </w:rPr>
        <w:t xml:space="preserve"> a focului (rezervor cu apă, găleţi, lopată, sapă, cazma), atunci când acesta scapă de sub control;</w:t>
      </w:r>
    </w:p>
    <w:p w:rsidR="004E2845" w:rsidRPr="00BB3C55" w:rsidRDefault="004E2845" w:rsidP="00BB3C55">
      <w:pPr>
        <w:pStyle w:val="ListParagraph"/>
        <w:numPr>
          <w:ilvl w:val="0"/>
          <w:numId w:val="27"/>
        </w:numPr>
        <w:jc w:val="both"/>
        <w:rPr>
          <w:rFonts w:cstheme="minorHAnsi"/>
          <w:lang w:val="ro-RO"/>
        </w:rPr>
      </w:pPr>
      <w:r w:rsidRPr="00BB3C55">
        <w:rPr>
          <w:rFonts w:cstheme="minorHAnsi"/>
          <w:b/>
          <w:shd w:val="clear" w:color="auto" w:fill="FFFFFF"/>
        </w:rPr>
        <w:t>Responsabilizarea adulţilor în ceea ce priveşte jocul copiilor</w:t>
      </w:r>
      <w:r w:rsidRPr="00BB3C55">
        <w:rPr>
          <w:rFonts w:cstheme="minorHAnsi"/>
          <w:shd w:val="clear" w:color="auto" w:fill="FFFFFF"/>
        </w:rPr>
        <w:t xml:space="preserve"> cu focul şi accesul acestora la sursele de foc (chibrituri, brichete, lumânări, lămpi cu gaz etc</w:t>
      </w:r>
    </w:p>
    <w:p w:rsidR="00BB3C55" w:rsidRDefault="004E2845" w:rsidP="004E2845">
      <w:pPr>
        <w:ind w:firstLine="720"/>
        <w:jc w:val="both"/>
        <w:rPr>
          <w:b/>
        </w:rPr>
      </w:pPr>
      <w:r w:rsidRPr="004E2845">
        <w:rPr>
          <w:b/>
        </w:rPr>
        <w:t xml:space="preserve">Conform prevederilor Legii 211/2011 privind regimul deşeurilor, gestionarea deşeurilor trebuie să se realizeze fără a pune in pericol sănătatea umană şi fără a dăuna mediului, iar eliminarea deşeurilor în afara spaţiilor autorizate este interzisă. </w:t>
      </w:r>
    </w:p>
    <w:p w:rsidR="00850B41" w:rsidRPr="00BB3C55" w:rsidRDefault="00E04F31" w:rsidP="00BB3C55">
      <w:pPr>
        <w:ind w:firstLine="720"/>
        <w:jc w:val="both"/>
        <w:rPr>
          <w:b/>
        </w:rPr>
      </w:pPr>
      <w:r>
        <w:rPr>
          <w:b/>
        </w:rPr>
        <w:t>De asemenea n</w:t>
      </w:r>
      <w:r w:rsidRPr="00E04F31">
        <w:rPr>
          <w:b/>
        </w:rPr>
        <w:t>erespectarea de către fermieri a normelor privind ecocondiţionalitate</w:t>
      </w:r>
      <w:r>
        <w:rPr>
          <w:b/>
        </w:rPr>
        <w:t xml:space="preserve">a conduce la reducerea subvențiilor APIA </w:t>
      </w:r>
      <w:bookmarkStart w:id="0" w:name="_GoBack"/>
      <w:bookmarkEnd w:id="0"/>
      <w:r w:rsidRPr="00E04F31">
        <w:rPr>
          <w:b/>
        </w:rPr>
        <w:t xml:space="preserve">sau excluderea de la </w:t>
      </w:r>
      <w:r>
        <w:rPr>
          <w:b/>
        </w:rPr>
        <w:t xml:space="preserve">plată, a </w:t>
      </w:r>
      <w:r w:rsidRPr="00E04F31">
        <w:rPr>
          <w:b/>
        </w:rPr>
        <w:t>scheme</w:t>
      </w:r>
      <w:r>
        <w:rPr>
          <w:b/>
        </w:rPr>
        <w:t>lor</w:t>
      </w:r>
      <w:r w:rsidRPr="00E04F31">
        <w:rPr>
          <w:b/>
        </w:rPr>
        <w:t xml:space="preserve"> de sprijin, accesate în cursul anului calendaristic în care a avut loc constatarea, pentru unul sau mai mulţi ani</w:t>
      </w:r>
      <w:r>
        <w:rPr>
          <w:b/>
        </w:rPr>
        <w:t>.</w:t>
      </w:r>
      <w:r w:rsidR="004E2845" w:rsidRPr="004E2845">
        <w:rPr>
          <w:b/>
        </w:rPr>
        <w:t xml:space="preserve"> </w:t>
      </w:r>
    </w:p>
    <w:p w:rsidR="009C2EE3" w:rsidRDefault="00162FBF" w:rsidP="00BB3C55">
      <w:pPr>
        <w:ind w:left="360" w:firstLine="720"/>
        <w:jc w:val="both"/>
        <w:rPr>
          <w:b/>
          <w:sz w:val="28"/>
          <w:szCs w:val="28"/>
        </w:rPr>
      </w:pPr>
      <w:r w:rsidRPr="00BB3C55">
        <w:t xml:space="preserve">Cu </w:t>
      </w:r>
      <w:r w:rsidR="006C3346" w:rsidRPr="00BB3C55">
        <w:t xml:space="preserve">deosebită </w:t>
      </w:r>
      <w:r w:rsidRPr="00BB3C55">
        <w:t>stimă</w:t>
      </w:r>
      <w:r>
        <w:rPr>
          <w:sz w:val="24"/>
          <w:szCs w:val="24"/>
        </w:rPr>
        <w:t>,</w:t>
      </w:r>
      <w:r w:rsidRPr="00162FBF">
        <w:rPr>
          <w:b/>
          <w:sz w:val="28"/>
          <w:szCs w:val="28"/>
          <w:u w:val="single"/>
        </w:rPr>
        <w:t xml:space="preserve"> </w:t>
      </w:r>
      <w:r w:rsidR="00ED0899">
        <w:rPr>
          <w:b/>
          <w:sz w:val="28"/>
          <w:szCs w:val="28"/>
        </w:rPr>
        <w:t xml:space="preserve">                                             </w:t>
      </w:r>
    </w:p>
    <w:p w:rsidR="00440D17" w:rsidRPr="008B33E3" w:rsidRDefault="009D005C" w:rsidP="00D34019">
      <w:pPr>
        <w:ind w:firstLine="720"/>
        <w:rPr>
          <w:b/>
          <w:sz w:val="28"/>
          <w:szCs w:val="28"/>
        </w:rPr>
      </w:pPr>
      <w:r>
        <w:rPr>
          <w:b/>
          <w:sz w:val="28"/>
          <w:szCs w:val="28"/>
        </w:rPr>
        <w:t xml:space="preserve">          </w:t>
      </w:r>
      <w:r w:rsidR="00950773">
        <w:rPr>
          <w:b/>
          <w:sz w:val="28"/>
          <w:szCs w:val="28"/>
        </w:rPr>
        <w:t xml:space="preserve">                               </w:t>
      </w:r>
      <w:r w:rsidR="00ED0899">
        <w:rPr>
          <w:b/>
          <w:sz w:val="28"/>
          <w:szCs w:val="28"/>
        </w:rPr>
        <w:t xml:space="preserve">  </w:t>
      </w:r>
      <w:r w:rsidR="00D34019">
        <w:rPr>
          <w:b/>
          <w:sz w:val="28"/>
          <w:szCs w:val="28"/>
        </w:rPr>
        <w:t xml:space="preserve">    </w:t>
      </w:r>
      <w:r>
        <w:rPr>
          <w:b/>
          <w:sz w:val="28"/>
          <w:szCs w:val="28"/>
        </w:rPr>
        <w:t xml:space="preserve">  </w:t>
      </w:r>
      <w:r w:rsidR="00D34019">
        <w:rPr>
          <w:b/>
          <w:sz w:val="28"/>
          <w:szCs w:val="28"/>
        </w:rPr>
        <w:t xml:space="preserve">    </w:t>
      </w:r>
      <w:r w:rsidR="00F114E7">
        <w:rPr>
          <w:b/>
          <w:sz w:val="28"/>
          <w:szCs w:val="28"/>
        </w:rPr>
        <w:t xml:space="preserve"> </w:t>
      </w:r>
      <w:r w:rsidR="00440D17" w:rsidRPr="008B33E3">
        <w:rPr>
          <w:b/>
          <w:sz w:val="28"/>
          <w:szCs w:val="28"/>
        </w:rPr>
        <w:t xml:space="preserve">PRIMAR </w:t>
      </w:r>
    </w:p>
    <w:p w:rsidR="00ED0899" w:rsidRPr="001C423A" w:rsidRDefault="00D34019" w:rsidP="001C423A">
      <w:pPr>
        <w:ind w:firstLine="720"/>
        <w:rPr>
          <w:b/>
          <w:sz w:val="28"/>
          <w:szCs w:val="28"/>
        </w:rPr>
      </w:pPr>
      <w:r>
        <w:rPr>
          <w:b/>
          <w:sz w:val="28"/>
          <w:szCs w:val="28"/>
        </w:rPr>
        <w:t xml:space="preserve">                                         </w:t>
      </w:r>
      <w:r w:rsidR="00440D17" w:rsidRPr="008B33E3">
        <w:rPr>
          <w:b/>
          <w:sz w:val="28"/>
          <w:szCs w:val="28"/>
        </w:rPr>
        <w:t>MAGDALENA LUCIA SUCIU</w:t>
      </w:r>
    </w:p>
    <w:sectPr w:rsidR="00ED0899" w:rsidRPr="001C423A" w:rsidSect="00C31303">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EA" w:rsidRDefault="00355BEA" w:rsidP="00471174">
      <w:pPr>
        <w:spacing w:after="0" w:line="240" w:lineRule="auto"/>
      </w:pPr>
      <w:r>
        <w:separator/>
      </w:r>
    </w:p>
  </w:endnote>
  <w:endnote w:type="continuationSeparator" w:id="0">
    <w:p w:rsidR="00355BEA" w:rsidRDefault="00355BEA" w:rsidP="0047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98656"/>
      <w:docPartObj>
        <w:docPartGallery w:val="Page Numbers (Bottom of Page)"/>
        <w:docPartUnique/>
      </w:docPartObj>
    </w:sdtPr>
    <w:sdtEndPr>
      <w:rPr>
        <w:noProof/>
      </w:rPr>
    </w:sdtEndPr>
    <w:sdtContent>
      <w:p w:rsidR="00232C17" w:rsidRDefault="00232C17">
        <w:pPr>
          <w:pStyle w:val="Footer"/>
          <w:jc w:val="right"/>
        </w:pPr>
        <w:r>
          <w:fldChar w:fldCharType="begin"/>
        </w:r>
        <w:r>
          <w:instrText xml:space="preserve"> PAGE   \* MERGEFORMAT </w:instrText>
        </w:r>
        <w:r>
          <w:fldChar w:fldCharType="separate"/>
        </w:r>
        <w:r w:rsidR="00E04F31">
          <w:rPr>
            <w:noProof/>
          </w:rPr>
          <w:t>2</w:t>
        </w:r>
        <w:r>
          <w:rPr>
            <w:noProof/>
          </w:rPr>
          <w:fldChar w:fldCharType="end"/>
        </w:r>
        <w:r>
          <w:rPr>
            <w:noProof/>
          </w:rPr>
          <w:t>/2</w:t>
        </w:r>
      </w:p>
    </w:sdtContent>
  </w:sdt>
  <w:p w:rsidR="00232C17" w:rsidRDefault="0023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EA" w:rsidRDefault="00355BEA" w:rsidP="00471174">
      <w:pPr>
        <w:spacing w:after="0" w:line="240" w:lineRule="auto"/>
      </w:pPr>
      <w:r>
        <w:separator/>
      </w:r>
    </w:p>
  </w:footnote>
  <w:footnote w:type="continuationSeparator" w:id="0">
    <w:p w:rsidR="00355BEA" w:rsidRDefault="00355BEA" w:rsidP="00471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408"/>
    <w:multiLevelType w:val="hybridMultilevel"/>
    <w:tmpl w:val="ECC84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74F2F"/>
    <w:multiLevelType w:val="hybridMultilevel"/>
    <w:tmpl w:val="300C8172"/>
    <w:lvl w:ilvl="0" w:tplc="08090013">
      <w:start w:val="1"/>
      <w:numFmt w:val="upp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D625D66"/>
    <w:multiLevelType w:val="hybridMultilevel"/>
    <w:tmpl w:val="CC6A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27979"/>
    <w:multiLevelType w:val="hybridMultilevel"/>
    <w:tmpl w:val="EECC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903F1"/>
    <w:multiLevelType w:val="hybridMultilevel"/>
    <w:tmpl w:val="B2A28C32"/>
    <w:lvl w:ilvl="0" w:tplc="08090013">
      <w:start w:val="1"/>
      <w:numFmt w:val="upperRoman"/>
      <w:lvlText w:val="%1."/>
      <w:lvlJc w:val="righ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5">
    <w:nsid w:val="279A0673"/>
    <w:multiLevelType w:val="hybridMultilevel"/>
    <w:tmpl w:val="3996C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8B1F98"/>
    <w:multiLevelType w:val="hybridMultilevel"/>
    <w:tmpl w:val="72EE6DE6"/>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7">
    <w:nsid w:val="2CE6357E"/>
    <w:multiLevelType w:val="hybridMultilevel"/>
    <w:tmpl w:val="C4B85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55779D"/>
    <w:multiLevelType w:val="hybridMultilevel"/>
    <w:tmpl w:val="F572DCD0"/>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3754123"/>
    <w:multiLevelType w:val="hybridMultilevel"/>
    <w:tmpl w:val="95F673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68F4712"/>
    <w:multiLevelType w:val="hybridMultilevel"/>
    <w:tmpl w:val="3996C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9F52F66"/>
    <w:multiLevelType w:val="hybridMultilevel"/>
    <w:tmpl w:val="808035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032C59"/>
    <w:multiLevelType w:val="hybridMultilevel"/>
    <w:tmpl w:val="3996883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5153EFC"/>
    <w:multiLevelType w:val="hybridMultilevel"/>
    <w:tmpl w:val="34BC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F71FEA"/>
    <w:multiLevelType w:val="hybridMultilevel"/>
    <w:tmpl w:val="0E02E8F8"/>
    <w:lvl w:ilvl="0" w:tplc="FE2ED56C">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B7E3F74"/>
    <w:multiLevelType w:val="hybridMultilevel"/>
    <w:tmpl w:val="F9247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252EC5"/>
    <w:multiLevelType w:val="hybridMultilevel"/>
    <w:tmpl w:val="0D6E8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303626"/>
    <w:multiLevelType w:val="hybridMultilevel"/>
    <w:tmpl w:val="FB28CA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2622A"/>
    <w:multiLevelType w:val="hybridMultilevel"/>
    <w:tmpl w:val="419EC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99354B"/>
    <w:multiLevelType w:val="hybridMultilevel"/>
    <w:tmpl w:val="CD3C2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35694E"/>
    <w:multiLevelType w:val="hybridMultilevel"/>
    <w:tmpl w:val="4F0E22B4"/>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1">
    <w:nsid w:val="6CE721FC"/>
    <w:multiLevelType w:val="hybridMultilevel"/>
    <w:tmpl w:val="F1166A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FDE7838"/>
    <w:multiLevelType w:val="hybridMultilevel"/>
    <w:tmpl w:val="B7E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97F0A"/>
    <w:multiLevelType w:val="hybridMultilevel"/>
    <w:tmpl w:val="3996C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5EB091D"/>
    <w:multiLevelType w:val="hybridMultilevel"/>
    <w:tmpl w:val="BDF04F8A"/>
    <w:lvl w:ilvl="0" w:tplc="08090013">
      <w:start w:val="1"/>
      <w:numFmt w:val="upperRoman"/>
      <w:lvlText w:val="%1."/>
      <w:lvlJc w:val="right"/>
      <w:pPr>
        <w:ind w:left="995" w:hanging="360"/>
      </w:p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25">
    <w:nsid w:val="7C5A5069"/>
    <w:multiLevelType w:val="hybridMultilevel"/>
    <w:tmpl w:val="049047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EE56EC1"/>
    <w:multiLevelType w:val="hybridMultilevel"/>
    <w:tmpl w:val="77B4CF80"/>
    <w:lvl w:ilvl="0" w:tplc="112C3D0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16"/>
  </w:num>
  <w:num w:numId="5">
    <w:abstractNumId w:val="1"/>
  </w:num>
  <w:num w:numId="6">
    <w:abstractNumId w:val="18"/>
  </w:num>
  <w:num w:numId="7">
    <w:abstractNumId w:val="7"/>
  </w:num>
  <w:num w:numId="8">
    <w:abstractNumId w:val="19"/>
  </w:num>
  <w:num w:numId="9">
    <w:abstractNumId w:val="4"/>
  </w:num>
  <w:num w:numId="10">
    <w:abstractNumId w:val="17"/>
  </w:num>
  <w:num w:numId="11">
    <w:abstractNumId w:val="24"/>
  </w:num>
  <w:num w:numId="12">
    <w:abstractNumId w:val="26"/>
  </w:num>
  <w:num w:numId="13">
    <w:abstractNumId w:val="3"/>
  </w:num>
  <w:num w:numId="14">
    <w:abstractNumId w:val="9"/>
  </w:num>
  <w:num w:numId="15">
    <w:abstractNumId w:val="5"/>
  </w:num>
  <w:num w:numId="16">
    <w:abstractNumId w:val="23"/>
  </w:num>
  <w:num w:numId="17">
    <w:abstractNumId w:val="10"/>
  </w:num>
  <w:num w:numId="18">
    <w:abstractNumId w:val="14"/>
  </w:num>
  <w:num w:numId="19">
    <w:abstractNumId w:val="11"/>
  </w:num>
  <w:num w:numId="20">
    <w:abstractNumId w:val="8"/>
  </w:num>
  <w:num w:numId="21">
    <w:abstractNumId w:val="25"/>
  </w:num>
  <w:num w:numId="22">
    <w:abstractNumId w:val="0"/>
  </w:num>
  <w:num w:numId="23">
    <w:abstractNumId w:val="22"/>
  </w:num>
  <w:num w:numId="24">
    <w:abstractNumId w:val="15"/>
  </w:num>
  <w:num w:numId="25">
    <w:abstractNumId w:val="6"/>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17"/>
    <w:rsid w:val="00000221"/>
    <w:rsid w:val="0000778E"/>
    <w:rsid w:val="00024EDF"/>
    <w:rsid w:val="00045FBB"/>
    <w:rsid w:val="00051992"/>
    <w:rsid w:val="00066AFF"/>
    <w:rsid w:val="00067BA0"/>
    <w:rsid w:val="000748CB"/>
    <w:rsid w:val="000771A7"/>
    <w:rsid w:val="00077696"/>
    <w:rsid w:val="000A030F"/>
    <w:rsid w:val="000A03D8"/>
    <w:rsid w:val="000A0E38"/>
    <w:rsid w:val="000D7FCD"/>
    <w:rsid w:val="000E1121"/>
    <w:rsid w:val="000E18C4"/>
    <w:rsid w:val="00107B9C"/>
    <w:rsid w:val="0011420F"/>
    <w:rsid w:val="00122B31"/>
    <w:rsid w:val="001334EA"/>
    <w:rsid w:val="0014138B"/>
    <w:rsid w:val="00147F4D"/>
    <w:rsid w:val="00162FBF"/>
    <w:rsid w:val="00174EFE"/>
    <w:rsid w:val="001751A2"/>
    <w:rsid w:val="0018399E"/>
    <w:rsid w:val="00190180"/>
    <w:rsid w:val="00192429"/>
    <w:rsid w:val="001949BD"/>
    <w:rsid w:val="001C1A3B"/>
    <w:rsid w:val="001C423A"/>
    <w:rsid w:val="001D258A"/>
    <w:rsid w:val="001F59CE"/>
    <w:rsid w:val="00200DBC"/>
    <w:rsid w:val="00213FBC"/>
    <w:rsid w:val="002175D5"/>
    <w:rsid w:val="00223BD2"/>
    <w:rsid w:val="00226CC9"/>
    <w:rsid w:val="00232C17"/>
    <w:rsid w:val="002466AD"/>
    <w:rsid w:val="00253FC6"/>
    <w:rsid w:val="002835FF"/>
    <w:rsid w:val="00284138"/>
    <w:rsid w:val="00292FDA"/>
    <w:rsid w:val="002D2875"/>
    <w:rsid w:val="002E73DB"/>
    <w:rsid w:val="00301B32"/>
    <w:rsid w:val="00301B35"/>
    <w:rsid w:val="003031F9"/>
    <w:rsid w:val="003052C1"/>
    <w:rsid w:val="00310842"/>
    <w:rsid w:val="00332B6C"/>
    <w:rsid w:val="003347CE"/>
    <w:rsid w:val="00336BE0"/>
    <w:rsid w:val="00337969"/>
    <w:rsid w:val="0035028D"/>
    <w:rsid w:val="00352B8D"/>
    <w:rsid w:val="00355BEA"/>
    <w:rsid w:val="00362A71"/>
    <w:rsid w:val="00373FBE"/>
    <w:rsid w:val="0038617C"/>
    <w:rsid w:val="003B2329"/>
    <w:rsid w:val="003C2EFF"/>
    <w:rsid w:val="003C3A97"/>
    <w:rsid w:val="003C3EC2"/>
    <w:rsid w:val="003C719C"/>
    <w:rsid w:val="003D3F69"/>
    <w:rsid w:val="003E148C"/>
    <w:rsid w:val="003E3BB7"/>
    <w:rsid w:val="003F3BD3"/>
    <w:rsid w:val="00401050"/>
    <w:rsid w:val="00407AB6"/>
    <w:rsid w:val="00411EE0"/>
    <w:rsid w:val="004306BD"/>
    <w:rsid w:val="00434D3A"/>
    <w:rsid w:val="00440D17"/>
    <w:rsid w:val="00441CCD"/>
    <w:rsid w:val="00442FA0"/>
    <w:rsid w:val="00464AEC"/>
    <w:rsid w:val="00470060"/>
    <w:rsid w:val="00470FD3"/>
    <w:rsid w:val="00471174"/>
    <w:rsid w:val="0047178A"/>
    <w:rsid w:val="00475C5F"/>
    <w:rsid w:val="00481DF0"/>
    <w:rsid w:val="00492060"/>
    <w:rsid w:val="0049373B"/>
    <w:rsid w:val="00494F1B"/>
    <w:rsid w:val="0049654C"/>
    <w:rsid w:val="004C33C0"/>
    <w:rsid w:val="004E1383"/>
    <w:rsid w:val="004E2845"/>
    <w:rsid w:val="004E5C3A"/>
    <w:rsid w:val="004E7EF3"/>
    <w:rsid w:val="005066F2"/>
    <w:rsid w:val="00514826"/>
    <w:rsid w:val="0052285B"/>
    <w:rsid w:val="005360A1"/>
    <w:rsid w:val="00545A03"/>
    <w:rsid w:val="00551232"/>
    <w:rsid w:val="005528A6"/>
    <w:rsid w:val="0056072A"/>
    <w:rsid w:val="00573B39"/>
    <w:rsid w:val="0057748B"/>
    <w:rsid w:val="00582F87"/>
    <w:rsid w:val="0059336D"/>
    <w:rsid w:val="00595085"/>
    <w:rsid w:val="005A4778"/>
    <w:rsid w:val="005B2315"/>
    <w:rsid w:val="005C1506"/>
    <w:rsid w:val="005C473A"/>
    <w:rsid w:val="005D1F13"/>
    <w:rsid w:val="00604498"/>
    <w:rsid w:val="00624FD8"/>
    <w:rsid w:val="0063745D"/>
    <w:rsid w:val="00645224"/>
    <w:rsid w:val="006533B4"/>
    <w:rsid w:val="00670F20"/>
    <w:rsid w:val="00682521"/>
    <w:rsid w:val="00682E28"/>
    <w:rsid w:val="006932A5"/>
    <w:rsid w:val="006A2FC5"/>
    <w:rsid w:val="006B3958"/>
    <w:rsid w:val="006B7A09"/>
    <w:rsid w:val="006B7BD4"/>
    <w:rsid w:val="006C3346"/>
    <w:rsid w:val="006D2D51"/>
    <w:rsid w:val="006F7A89"/>
    <w:rsid w:val="00710335"/>
    <w:rsid w:val="00710370"/>
    <w:rsid w:val="007112DF"/>
    <w:rsid w:val="00731030"/>
    <w:rsid w:val="0076141F"/>
    <w:rsid w:val="007626AB"/>
    <w:rsid w:val="00763E26"/>
    <w:rsid w:val="00770A38"/>
    <w:rsid w:val="007B2CA2"/>
    <w:rsid w:val="007B6060"/>
    <w:rsid w:val="007B6939"/>
    <w:rsid w:val="007C182D"/>
    <w:rsid w:val="007C4BCA"/>
    <w:rsid w:val="007E3C4D"/>
    <w:rsid w:val="007E7698"/>
    <w:rsid w:val="008131E0"/>
    <w:rsid w:val="008177F2"/>
    <w:rsid w:val="008365D7"/>
    <w:rsid w:val="00844F1A"/>
    <w:rsid w:val="00850265"/>
    <w:rsid w:val="00850B41"/>
    <w:rsid w:val="0085285A"/>
    <w:rsid w:val="00894EE4"/>
    <w:rsid w:val="008B3E80"/>
    <w:rsid w:val="008C20EC"/>
    <w:rsid w:val="008D2B74"/>
    <w:rsid w:val="008E2054"/>
    <w:rsid w:val="008E60B8"/>
    <w:rsid w:val="008F056D"/>
    <w:rsid w:val="0090280B"/>
    <w:rsid w:val="00950773"/>
    <w:rsid w:val="009554A9"/>
    <w:rsid w:val="009809AA"/>
    <w:rsid w:val="00990606"/>
    <w:rsid w:val="00990DFD"/>
    <w:rsid w:val="009C2EE3"/>
    <w:rsid w:val="009C4583"/>
    <w:rsid w:val="009C4E05"/>
    <w:rsid w:val="009D005C"/>
    <w:rsid w:val="009F49F8"/>
    <w:rsid w:val="00A07C7A"/>
    <w:rsid w:val="00A23575"/>
    <w:rsid w:val="00A318E2"/>
    <w:rsid w:val="00A345B6"/>
    <w:rsid w:val="00A41059"/>
    <w:rsid w:val="00A61CFF"/>
    <w:rsid w:val="00A7198F"/>
    <w:rsid w:val="00A731A8"/>
    <w:rsid w:val="00A83F41"/>
    <w:rsid w:val="00A85882"/>
    <w:rsid w:val="00AA1707"/>
    <w:rsid w:val="00AD299A"/>
    <w:rsid w:val="00AF2ADA"/>
    <w:rsid w:val="00AF2B09"/>
    <w:rsid w:val="00AF6A49"/>
    <w:rsid w:val="00B30E05"/>
    <w:rsid w:val="00B46F30"/>
    <w:rsid w:val="00B51778"/>
    <w:rsid w:val="00B60698"/>
    <w:rsid w:val="00B609A2"/>
    <w:rsid w:val="00B72214"/>
    <w:rsid w:val="00B802C9"/>
    <w:rsid w:val="00BA4B80"/>
    <w:rsid w:val="00BB258D"/>
    <w:rsid w:val="00BB3C55"/>
    <w:rsid w:val="00BC2994"/>
    <w:rsid w:val="00BC2F0F"/>
    <w:rsid w:val="00BC358B"/>
    <w:rsid w:val="00BC48BD"/>
    <w:rsid w:val="00BC607B"/>
    <w:rsid w:val="00BD4A16"/>
    <w:rsid w:val="00BE337C"/>
    <w:rsid w:val="00BE37A2"/>
    <w:rsid w:val="00BF1DE4"/>
    <w:rsid w:val="00BF3546"/>
    <w:rsid w:val="00C16F41"/>
    <w:rsid w:val="00C1747F"/>
    <w:rsid w:val="00C2765B"/>
    <w:rsid w:val="00C31303"/>
    <w:rsid w:val="00C35749"/>
    <w:rsid w:val="00C474BE"/>
    <w:rsid w:val="00C55654"/>
    <w:rsid w:val="00C668C0"/>
    <w:rsid w:val="00C9421E"/>
    <w:rsid w:val="00CF3F70"/>
    <w:rsid w:val="00D04BD7"/>
    <w:rsid w:val="00D04C9F"/>
    <w:rsid w:val="00D154D1"/>
    <w:rsid w:val="00D34019"/>
    <w:rsid w:val="00D42623"/>
    <w:rsid w:val="00D502D9"/>
    <w:rsid w:val="00D50630"/>
    <w:rsid w:val="00D51B3D"/>
    <w:rsid w:val="00D61800"/>
    <w:rsid w:val="00D70422"/>
    <w:rsid w:val="00D91918"/>
    <w:rsid w:val="00D97C3A"/>
    <w:rsid w:val="00DB358C"/>
    <w:rsid w:val="00DB70EB"/>
    <w:rsid w:val="00DC42CC"/>
    <w:rsid w:val="00DC7606"/>
    <w:rsid w:val="00DD40B8"/>
    <w:rsid w:val="00DF4940"/>
    <w:rsid w:val="00DF74A3"/>
    <w:rsid w:val="00E04F31"/>
    <w:rsid w:val="00E11FC2"/>
    <w:rsid w:val="00E20D82"/>
    <w:rsid w:val="00E22022"/>
    <w:rsid w:val="00E2673D"/>
    <w:rsid w:val="00E6155B"/>
    <w:rsid w:val="00E669C9"/>
    <w:rsid w:val="00E772DB"/>
    <w:rsid w:val="00E81604"/>
    <w:rsid w:val="00E90322"/>
    <w:rsid w:val="00ED0899"/>
    <w:rsid w:val="00ED41FD"/>
    <w:rsid w:val="00ED6946"/>
    <w:rsid w:val="00EE25EA"/>
    <w:rsid w:val="00EE5B29"/>
    <w:rsid w:val="00EF04EE"/>
    <w:rsid w:val="00EF1176"/>
    <w:rsid w:val="00EF561E"/>
    <w:rsid w:val="00EF757E"/>
    <w:rsid w:val="00F00396"/>
    <w:rsid w:val="00F114E7"/>
    <w:rsid w:val="00F23A82"/>
    <w:rsid w:val="00F25707"/>
    <w:rsid w:val="00F26A1D"/>
    <w:rsid w:val="00F31DA6"/>
    <w:rsid w:val="00F36E89"/>
    <w:rsid w:val="00F42B84"/>
    <w:rsid w:val="00F535F4"/>
    <w:rsid w:val="00F57785"/>
    <w:rsid w:val="00F60163"/>
    <w:rsid w:val="00F74383"/>
    <w:rsid w:val="00F85A35"/>
    <w:rsid w:val="00F925A9"/>
    <w:rsid w:val="00F96538"/>
    <w:rsid w:val="00FA22FC"/>
    <w:rsid w:val="00FB37B2"/>
    <w:rsid w:val="00FB73B9"/>
    <w:rsid w:val="00FC59C2"/>
    <w:rsid w:val="00FD514F"/>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17"/>
    <w:rPr>
      <w:rFonts w:ascii="Tahoma" w:hAnsi="Tahoma" w:cs="Tahoma"/>
      <w:sz w:val="16"/>
      <w:szCs w:val="16"/>
    </w:rPr>
  </w:style>
  <w:style w:type="character" w:styleId="Hyperlink">
    <w:name w:val="Hyperlink"/>
    <w:basedOn w:val="DefaultParagraphFont"/>
    <w:uiPriority w:val="99"/>
    <w:unhideWhenUsed/>
    <w:rsid w:val="00E6155B"/>
    <w:rPr>
      <w:color w:val="0000FF" w:themeColor="hyperlink"/>
      <w:u w:val="single"/>
    </w:rPr>
  </w:style>
  <w:style w:type="paragraph" w:styleId="ListParagraph">
    <w:name w:val="List Paragraph"/>
    <w:basedOn w:val="Normal"/>
    <w:uiPriority w:val="34"/>
    <w:qFormat/>
    <w:rsid w:val="00471174"/>
    <w:pPr>
      <w:ind w:left="720"/>
      <w:contextualSpacing/>
    </w:pPr>
  </w:style>
  <w:style w:type="paragraph" w:styleId="Header">
    <w:name w:val="header"/>
    <w:basedOn w:val="Normal"/>
    <w:link w:val="HeaderChar"/>
    <w:uiPriority w:val="99"/>
    <w:unhideWhenUsed/>
    <w:rsid w:val="0047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74"/>
  </w:style>
  <w:style w:type="paragraph" w:styleId="Footer">
    <w:name w:val="footer"/>
    <w:basedOn w:val="Normal"/>
    <w:link w:val="FooterChar"/>
    <w:uiPriority w:val="99"/>
    <w:unhideWhenUsed/>
    <w:rsid w:val="0047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17"/>
    <w:rPr>
      <w:rFonts w:ascii="Tahoma" w:hAnsi="Tahoma" w:cs="Tahoma"/>
      <w:sz w:val="16"/>
      <w:szCs w:val="16"/>
    </w:rPr>
  </w:style>
  <w:style w:type="character" w:styleId="Hyperlink">
    <w:name w:val="Hyperlink"/>
    <w:basedOn w:val="DefaultParagraphFont"/>
    <w:uiPriority w:val="99"/>
    <w:unhideWhenUsed/>
    <w:rsid w:val="00E6155B"/>
    <w:rPr>
      <w:color w:val="0000FF" w:themeColor="hyperlink"/>
      <w:u w:val="single"/>
    </w:rPr>
  </w:style>
  <w:style w:type="paragraph" w:styleId="ListParagraph">
    <w:name w:val="List Paragraph"/>
    <w:basedOn w:val="Normal"/>
    <w:uiPriority w:val="34"/>
    <w:qFormat/>
    <w:rsid w:val="00471174"/>
    <w:pPr>
      <w:ind w:left="720"/>
      <w:contextualSpacing/>
    </w:pPr>
  </w:style>
  <w:style w:type="paragraph" w:styleId="Header">
    <w:name w:val="header"/>
    <w:basedOn w:val="Normal"/>
    <w:link w:val="HeaderChar"/>
    <w:uiPriority w:val="99"/>
    <w:unhideWhenUsed/>
    <w:rsid w:val="0047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74"/>
  </w:style>
  <w:style w:type="paragraph" w:styleId="Footer">
    <w:name w:val="footer"/>
    <w:basedOn w:val="Normal"/>
    <w:link w:val="FooterChar"/>
    <w:uiPriority w:val="99"/>
    <w:unhideWhenUsed/>
    <w:rsid w:val="0047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223">
      <w:bodyDiv w:val="1"/>
      <w:marLeft w:val="0"/>
      <w:marRight w:val="0"/>
      <w:marTop w:val="0"/>
      <w:marBottom w:val="0"/>
      <w:divBdr>
        <w:top w:val="none" w:sz="0" w:space="0" w:color="auto"/>
        <w:left w:val="none" w:sz="0" w:space="0" w:color="auto"/>
        <w:bottom w:val="none" w:sz="0" w:space="0" w:color="auto"/>
        <w:right w:val="none" w:sz="0" w:space="0" w:color="auto"/>
      </w:divBdr>
    </w:div>
    <w:div w:id="16359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E0C6-20D0-49C7-AA6A-D87AB3AB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2022-03-31T08:19:00Z</cp:lastPrinted>
  <dcterms:created xsi:type="dcterms:W3CDTF">2022-03-31T07:43:00Z</dcterms:created>
  <dcterms:modified xsi:type="dcterms:W3CDTF">2022-03-31T08:45:00Z</dcterms:modified>
</cp:coreProperties>
</file>